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rtl w:val="0"/>
        </w:rPr>
        <w:t xml:space="preserve">Nazi Propaganda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What is Propaganda?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__________________ information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Simplifies _______________ issues or ideas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Created to shape public opinion and 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True, partially true, or blatantly ________________ information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Plays on 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Symbols, images, words, or music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Advertises a ________________, organization, or movement and its opponents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Directs human action toward a given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Common Propaganda Techniques</w:t>
      </w: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Bandwagon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Testimonial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Transfer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Glittering Generalities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Bandwagon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An appeal to the subject to follow the 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Tries to convince the subject that one side is the _________________ side and that winning is inevitable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Appeals to a person’s _______________________ to be on the winning 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Testimonial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Quotations or endorsements which attempt to connect a well-known or ____________ person with a product or ____________ with the intent to better “_____________” the product or ideal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Plain Folks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An attempt to __________________ the public that his or her views reflect those of the “__________________”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The candidate tries to ________________ to be working for the benefit of the “common person”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Transfer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An attempt to make the subject _______________ a certain item in the same way as they view another item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Used to transfer _________________ feelings for one object to another - scapegoat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In politics, this technique is often used to transfer ____________ or bad ___________ from one politician to another or from one group of people to another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Glittering Generalities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Uses words that have different ____________ meaning for individual subjects, but are linked to highly valued 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Words often used as glittering generalities are honor, glory, love of _______________, and freedom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Name-calling</w:t>
      </w: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Uses ____________________ language or words that carry a ______________ connotation when describing an enemy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Attempts to arouse ________________ among the public by labeling the target something that the public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Hitler’s Propaganda Methods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Present _________________ themes in a _____________________ manner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Appeal to emotion rather than 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Have broad appeal to the masses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Focus mainly on one ___________________ - Claim that this enemy is at the root of all problems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Goebbels</w:t>
      </w: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Minister of Public 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Responsible for running the Nazi Propaganda 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Tasked with ensuring views of Nazi party were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Nazi Propaganda focussed on: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1. Anti-___________________ (anti-Jew)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2. ___________________ (uniforms; army)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3. ________________________ (pride in Germany)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4. Supremacy of the ___________________ race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5. Cult of the _____________________ (Hitler focal point of nation; god-like figure)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6. Traditional German __________________ culture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Posters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Posters - ______________ &amp; easy to distribute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Placed in ___________________ positions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Constant ____________________ of Nazi ideology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Radio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1) The Peoples ____________________ – limited range in order to ___________ hear Nazi broadcasts (could not pick up _____________________ broadcasts)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-All news broadcasts came through the Nazi Office of 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-Between 1932-9 the number of families with radios rose from 25% to ____________%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-Goebbels described radio as “the ________________ weapon of the totalitarian state”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2) Hitler’s Speeches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-Hitler is considered to have been one of the greatest ___________ speakers of all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Censorship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Goebbels aimed to ensure __________________ could read/see anything that was ________________/damaging to Nazi party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He worked with ____________ &amp; Gestapo to achieve this aim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Everything from ________________________, film, and magazines was censored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rtl w:val="0"/>
        </w:rPr>
        <w:t xml:space="preserve">Goals of Anti-Jewish Propaganda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To connect Jews to every ________________ facing Germany and every other group seen as 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To __________________ traditional negative ______________________ about Jews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4"/>
          <w:rtl w:val="0"/>
        </w:rPr>
        <w:t xml:space="preserve">• To create a climate of _____________________ toward Jews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• To _______________________ the image of Jews (to facilitate _________________, segregation, exile, and __________________)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