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Course: History of the Holocaust and Genocide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Teacher:  Mr. Jobb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Classroom: 5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Phone:  608-361-4339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Email: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u w:val="single"/>
            <w:rtl w:val="0"/>
          </w:rPr>
          <w:t xml:space="preserve">jjobb@sdb.k12.wi.us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2047875" cy="2271713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7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833563" cy="210248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2102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890713" cy="2289245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2289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Course Description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The purpose of studying the Holocaust, arguably the most crucial event of the twentieth century, is to provide students with a solid appreciation of the need for the respect and tolerance of others. In this class we will analyze: anti-Semitism throughout history; the chronological developments that led to the Holocaust; and numerous personal accounts of survivors and of those who died at the hands of the Nazis; other groups persecuted by the Nazis apart from Jews; and other genocides that have occurred in modern history.</w:t>
      </w:r>
    </w:p>
    <w:p w:rsidR="00000000" w:rsidDel="00000000" w:rsidP="00000000" w:rsidRDefault="00000000" w:rsidRPr="00000000">
      <w:pPr>
        <w:widowControl w:val="0"/>
        <w:spacing w:line="36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 recognize that students have a variety of learning styles and come from diverse backgrounds. Therefore, instruction will include many different approaches including: inquiry, Simulations, Cooperative Grouping, Critical Thinking, Experimental and individualized activities as well as traditional approaches.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Course Outline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Unit One: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Genocide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Pyramid of Hate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8 Steps of Genocide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Examples of genocides besides the Holocaust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Unit Two: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Judaism and Anti-Semitism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Judaism Notes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Jewish Stereotypes/Myths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History of Anti-Semitism Notes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Unit Three: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Hitler’s Rise to Power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State of Germany After WWI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80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Growing Up Hitler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Hitler and the Nazis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80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Totalitarian State of Germany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Unit Four: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Propaganda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Nazi Propaganda Notes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Propaganda Techniques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Hitler’s Use of Propaganda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Poisonous Mushroom Book Activity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Unit Five: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1st and 2nd Solutions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1st Solution Notes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Kristallnacht Accounts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2nd Solution Notes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In My Hands Reading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Unit Six: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The Final Solution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Einsatzgruppen Notes/Simulation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 Survived Rumbuli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Final Solution Notes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Reinhard Camps- Belzec, Sobibor, Treblinka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Majdanek and Auschwitz Notes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Auschwitz Accounts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Camp Project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Resistance and Conclusion Notes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image" Target="media/image04.png"/><Relationship Id="rId6" Type="http://schemas.openxmlformats.org/officeDocument/2006/relationships/hyperlink" Target="mailto:jhoey@sdb.k12.wi.us" TargetMode="External"/><Relationship Id="rId5" Type="http://schemas.openxmlformats.org/officeDocument/2006/relationships/hyperlink" Target="mailto:jjobb@sdb.k12.wi.us" TargetMode="External"/><Relationship Id="rId8" Type="http://schemas.openxmlformats.org/officeDocument/2006/relationships/image" Target="media/image05.png"/><Relationship Id="rId7" Type="http://schemas.openxmlformats.org/officeDocument/2006/relationships/image" Target="media/image02.png"/></Relationships>
</file>